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EE21B" w14:textId="77777777" w:rsidR="00C167D1" w:rsidRDefault="00C167D1">
      <w:r>
        <w:t xml:space="preserve">Due to recent IRS regulation changes, The OMNI Group has been retained by the District as our Third Party Administrator. They are responsible for overseeing tax shelter deductions and remittances to ensure compliance with all regulations. </w:t>
      </w:r>
    </w:p>
    <w:p w14:paraId="1B9507F8" w14:textId="77777777" w:rsidR="00887675" w:rsidRDefault="00C167D1">
      <w:r>
        <w:t>Employees may choose a tax shelter from any of the Board approved companies listed below. The employee should contact the representative from their chosen tax shelter vendor to set up an account. All employees and vendors are required to use an OMNI Salary Reduction Agreement form which may be obtained on the OMNI website listed below. The forms can be printed out and faxed to OMNI or can be completed via an online option. Once OMNI has determined that the employee’s Salary Reduction Agreement is compliant, they notify the Payroll Department to initiate, make changes to, or stop the tax shelter deduction.</w:t>
      </w:r>
      <w:bookmarkStart w:id="0" w:name="_GoBack"/>
      <w:bookmarkEnd w:id="0"/>
    </w:p>
    <w:tbl>
      <w:tblPr>
        <w:tblpPr w:leftFromText="180" w:rightFromText="180" w:vertAnchor="text" w:horzAnchor="margin" w:tblpXSpec="center" w:tblpY="9"/>
        <w:tblW w:w="1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2071"/>
        <w:gridCol w:w="2364"/>
        <w:gridCol w:w="3368"/>
      </w:tblGrid>
      <w:tr w:rsidR="003B7BBE" w:rsidRPr="00EE7C49" w14:paraId="086C4C00" w14:textId="77777777" w:rsidTr="007338A4">
        <w:trPr>
          <w:cantSplit/>
          <w:trHeight w:val="268"/>
        </w:trPr>
        <w:tc>
          <w:tcPr>
            <w:tcW w:w="11488" w:type="dxa"/>
            <w:gridSpan w:val="4"/>
            <w:tcBorders>
              <w:bottom w:val="single" w:sz="4" w:space="0" w:color="auto"/>
            </w:tcBorders>
            <w:shd w:val="solid" w:color="00FFFF" w:fill="FFFFFF"/>
          </w:tcPr>
          <w:p w14:paraId="331D5C57" w14:textId="77777777" w:rsidR="003B7BBE" w:rsidRPr="00EE7C49" w:rsidRDefault="003B7BBE" w:rsidP="007338A4">
            <w:pPr>
              <w:pStyle w:val="Heading1"/>
              <w:rPr>
                <w:rFonts w:ascii="Times New Roman" w:hAnsi="Times New Roman"/>
                <w:sz w:val="20"/>
                <w:szCs w:val="18"/>
              </w:rPr>
            </w:pPr>
            <w:r w:rsidRPr="00EE7C49">
              <w:rPr>
                <w:rFonts w:ascii="Times New Roman" w:hAnsi="Times New Roman"/>
                <w:sz w:val="20"/>
                <w:szCs w:val="18"/>
              </w:rPr>
              <w:t>TAX SHELTER ADMINISTRATORS</w:t>
            </w:r>
          </w:p>
        </w:tc>
      </w:tr>
      <w:tr w:rsidR="003B7BBE" w:rsidRPr="00EE7C49" w14:paraId="231533D9" w14:textId="77777777" w:rsidTr="007338A4">
        <w:trPr>
          <w:cantSplit/>
          <w:trHeight w:val="317"/>
        </w:trPr>
        <w:tc>
          <w:tcPr>
            <w:tcW w:w="3685" w:type="dxa"/>
            <w:shd w:val="clear" w:color="00FFFF" w:fill="auto"/>
          </w:tcPr>
          <w:p w14:paraId="3DAC6009" w14:textId="77777777" w:rsidR="003B7BBE" w:rsidRPr="00EE7C49" w:rsidRDefault="003B7BBE" w:rsidP="007338A4">
            <w:pPr>
              <w:pStyle w:val="Heading1"/>
              <w:jc w:val="left"/>
              <w:rPr>
                <w:rFonts w:ascii="Times New Roman" w:hAnsi="Times New Roman"/>
                <w:b w:val="0"/>
                <w:sz w:val="20"/>
                <w:szCs w:val="18"/>
              </w:rPr>
            </w:pPr>
            <w:r w:rsidRPr="00EE7C49">
              <w:rPr>
                <w:rFonts w:ascii="Times New Roman" w:hAnsi="Times New Roman"/>
                <w:b w:val="0"/>
                <w:sz w:val="20"/>
                <w:szCs w:val="18"/>
              </w:rPr>
              <w:t>The Omni Group</w:t>
            </w:r>
          </w:p>
        </w:tc>
        <w:tc>
          <w:tcPr>
            <w:tcW w:w="2071" w:type="dxa"/>
            <w:shd w:val="clear" w:color="00FFFF" w:fill="auto"/>
          </w:tcPr>
          <w:p w14:paraId="18ED106A" w14:textId="77777777" w:rsidR="003B7BBE" w:rsidRPr="00EE7C49" w:rsidRDefault="003B7BBE" w:rsidP="007338A4">
            <w:pPr>
              <w:pStyle w:val="Heading1"/>
              <w:jc w:val="left"/>
              <w:rPr>
                <w:rFonts w:ascii="Times New Roman" w:hAnsi="Times New Roman"/>
                <w:b w:val="0"/>
                <w:sz w:val="20"/>
                <w:szCs w:val="18"/>
              </w:rPr>
            </w:pPr>
          </w:p>
        </w:tc>
        <w:tc>
          <w:tcPr>
            <w:tcW w:w="2364" w:type="dxa"/>
            <w:shd w:val="clear" w:color="00FFFF" w:fill="auto"/>
          </w:tcPr>
          <w:p w14:paraId="599B6F80" w14:textId="77777777" w:rsidR="003B7BBE" w:rsidRPr="00EE7C49" w:rsidRDefault="003B7BBE" w:rsidP="007338A4">
            <w:pPr>
              <w:pStyle w:val="Heading1"/>
              <w:jc w:val="left"/>
              <w:rPr>
                <w:rFonts w:ascii="Times New Roman" w:hAnsi="Times New Roman"/>
                <w:b w:val="0"/>
                <w:sz w:val="20"/>
                <w:szCs w:val="18"/>
              </w:rPr>
            </w:pPr>
            <w:r w:rsidRPr="00EE7C49">
              <w:rPr>
                <w:rFonts w:ascii="Times New Roman" w:hAnsi="Times New Roman"/>
                <w:b w:val="0"/>
                <w:sz w:val="20"/>
                <w:szCs w:val="18"/>
              </w:rPr>
              <w:t>1-877-544-6664</w:t>
            </w:r>
          </w:p>
        </w:tc>
        <w:tc>
          <w:tcPr>
            <w:tcW w:w="3368" w:type="dxa"/>
            <w:shd w:val="clear" w:color="00FFFF" w:fill="auto"/>
          </w:tcPr>
          <w:p w14:paraId="3B1155CC" w14:textId="77777777" w:rsidR="003B7BBE" w:rsidRPr="00EE7C49" w:rsidRDefault="003B7BBE" w:rsidP="007338A4">
            <w:pPr>
              <w:pStyle w:val="Heading1"/>
              <w:jc w:val="left"/>
              <w:rPr>
                <w:rFonts w:ascii="Times New Roman" w:hAnsi="Times New Roman"/>
                <w:b w:val="0"/>
                <w:color w:val="0000FF"/>
                <w:sz w:val="20"/>
                <w:szCs w:val="18"/>
                <w:u w:val="single"/>
              </w:rPr>
            </w:pPr>
            <w:r w:rsidRPr="00EE7C49">
              <w:rPr>
                <w:rFonts w:ascii="Times New Roman" w:hAnsi="Times New Roman"/>
                <w:b w:val="0"/>
                <w:color w:val="0000FF"/>
                <w:sz w:val="20"/>
                <w:szCs w:val="18"/>
                <w:u w:val="single"/>
              </w:rPr>
              <w:t>www.omni403b.com</w:t>
            </w:r>
          </w:p>
        </w:tc>
      </w:tr>
      <w:tr w:rsidR="003B7BBE" w:rsidRPr="00EE7C49" w14:paraId="7585CD4B" w14:textId="77777777" w:rsidTr="007338A4">
        <w:trPr>
          <w:cantSplit/>
          <w:trHeight w:val="289"/>
        </w:trPr>
        <w:tc>
          <w:tcPr>
            <w:tcW w:w="11488" w:type="dxa"/>
            <w:gridSpan w:val="4"/>
            <w:shd w:val="solid" w:color="00FFFF" w:fill="FFFFFF"/>
          </w:tcPr>
          <w:p w14:paraId="7F72E345" w14:textId="77777777" w:rsidR="003B7BBE" w:rsidRPr="00EE7C49" w:rsidRDefault="003B7BBE" w:rsidP="007338A4">
            <w:pPr>
              <w:pStyle w:val="Heading1"/>
              <w:rPr>
                <w:rFonts w:ascii="Times New Roman" w:hAnsi="Times New Roman"/>
                <w:color w:val="000000"/>
                <w:sz w:val="20"/>
                <w:szCs w:val="18"/>
              </w:rPr>
            </w:pPr>
            <w:r w:rsidRPr="00EE7C49">
              <w:rPr>
                <w:rFonts w:ascii="Times New Roman" w:hAnsi="Times New Roman"/>
                <w:color w:val="000000"/>
                <w:sz w:val="20"/>
                <w:szCs w:val="18"/>
              </w:rPr>
              <w:t>TAX SHELTER COMPANIES</w:t>
            </w:r>
          </w:p>
        </w:tc>
      </w:tr>
      <w:tr w:rsidR="003B7BBE" w:rsidRPr="00AD784E" w14:paraId="1B7ECBF7" w14:textId="77777777" w:rsidTr="007338A4">
        <w:trPr>
          <w:trHeight w:val="617"/>
        </w:trPr>
        <w:tc>
          <w:tcPr>
            <w:tcW w:w="11488" w:type="dxa"/>
            <w:gridSpan w:val="4"/>
            <w:vAlign w:val="center"/>
          </w:tcPr>
          <w:p w14:paraId="2921A092" w14:textId="77777777" w:rsidR="003B7BBE" w:rsidRPr="00AD784E" w:rsidRDefault="003B7BBE" w:rsidP="007338A4">
            <w:pPr>
              <w:jc w:val="center"/>
              <w:rPr>
                <w:szCs w:val="18"/>
              </w:rPr>
            </w:pPr>
            <w:r>
              <w:rPr>
                <w:szCs w:val="18"/>
              </w:rPr>
              <w:t>Tax Shelter (</w:t>
            </w:r>
            <w:r w:rsidRPr="00AD784E">
              <w:rPr>
                <w:szCs w:val="18"/>
              </w:rPr>
              <w:t>403b</w:t>
            </w:r>
            <w:r>
              <w:rPr>
                <w:szCs w:val="18"/>
              </w:rPr>
              <w:t>)</w:t>
            </w:r>
            <w:r w:rsidRPr="00AD784E">
              <w:rPr>
                <w:szCs w:val="18"/>
              </w:rPr>
              <w:t xml:space="preserve"> participants </w:t>
            </w:r>
            <w:r w:rsidRPr="00AD784E">
              <w:rPr>
                <w:szCs w:val="18"/>
                <w:u w:val="single"/>
              </w:rPr>
              <w:t>must</w:t>
            </w:r>
            <w:r w:rsidRPr="00AD784E">
              <w:rPr>
                <w:szCs w:val="18"/>
              </w:rPr>
              <w:t xml:space="preserve"> make selection from the following list of tax shelter companies.</w:t>
            </w:r>
          </w:p>
          <w:p w14:paraId="0A19D14A" w14:textId="77777777" w:rsidR="003B7BBE" w:rsidRPr="00AD784E" w:rsidRDefault="003B7BBE" w:rsidP="007338A4">
            <w:pPr>
              <w:jc w:val="center"/>
              <w:rPr>
                <w:color w:val="0000FF"/>
                <w:szCs w:val="18"/>
              </w:rPr>
            </w:pPr>
            <w:r w:rsidRPr="00AD784E">
              <w:rPr>
                <w:szCs w:val="18"/>
              </w:rPr>
              <w:t>For ease of processing, WTPS strongly recommends using the assigned representative.</w:t>
            </w:r>
          </w:p>
        </w:tc>
      </w:tr>
      <w:tr w:rsidR="003B7BBE" w:rsidRPr="00EE7C49" w14:paraId="22B52473" w14:textId="77777777" w:rsidTr="007338A4">
        <w:trPr>
          <w:trHeight w:val="300"/>
        </w:trPr>
        <w:tc>
          <w:tcPr>
            <w:tcW w:w="3685" w:type="dxa"/>
            <w:vAlign w:val="center"/>
          </w:tcPr>
          <w:p w14:paraId="6A639287" w14:textId="77777777" w:rsidR="003B7BBE" w:rsidRPr="00EE7C49" w:rsidRDefault="003B7BBE" w:rsidP="007338A4">
            <w:pPr>
              <w:rPr>
                <w:szCs w:val="18"/>
              </w:rPr>
            </w:pPr>
            <w:r w:rsidRPr="00EE7C49">
              <w:rPr>
                <w:szCs w:val="18"/>
              </w:rPr>
              <w:t>Ameriprise</w:t>
            </w:r>
          </w:p>
        </w:tc>
        <w:tc>
          <w:tcPr>
            <w:tcW w:w="2071" w:type="dxa"/>
            <w:vAlign w:val="center"/>
          </w:tcPr>
          <w:p w14:paraId="08F9300B" w14:textId="77777777" w:rsidR="003B7BBE" w:rsidRPr="00EE7C49" w:rsidRDefault="003B7BBE" w:rsidP="007338A4">
            <w:pPr>
              <w:rPr>
                <w:szCs w:val="18"/>
              </w:rPr>
            </w:pPr>
            <w:r w:rsidRPr="00EE7C49">
              <w:rPr>
                <w:szCs w:val="18"/>
              </w:rPr>
              <w:t>Sean Refsnider</w:t>
            </w:r>
          </w:p>
        </w:tc>
        <w:tc>
          <w:tcPr>
            <w:tcW w:w="2364" w:type="dxa"/>
            <w:vAlign w:val="center"/>
          </w:tcPr>
          <w:p w14:paraId="5AB4D828" w14:textId="77777777" w:rsidR="003B7BBE" w:rsidRPr="00EE7C49" w:rsidRDefault="003B7BBE" w:rsidP="007338A4">
            <w:pPr>
              <w:rPr>
                <w:szCs w:val="18"/>
              </w:rPr>
            </w:pPr>
            <w:r>
              <w:rPr>
                <w:szCs w:val="18"/>
              </w:rPr>
              <w:t>856-617-6445</w:t>
            </w:r>
          </w:p>
        </w:tc>
        <w:tc>
          <w:tcPr>
            <w:tcW w:w="3368" w:type="dxa"/>
            <w:vAlign w:val="center"/>
          </w:tcPr>
          <w:p w14:paraId="66D55F47" w14:textId="77777777" w:rsidR="003B7BBE" w:rsidRPr="00EE7C49" w:rsidRDefault="003B7BBE" w:rsidP="007338A4">
            <w:pPr>
              <w:rPr>
                <w:szCs w:val="18"/>
                <w:u w:val="single"/>
              </w:rPr>
            </w:pPr>
            <w:r w:rsidRPr="00EE7C49">
              <w:rPr>
                <w:color w:val="0000FF"/>
                <w:szCs w:val="18"/>
                <w:u w:val="single"/>
              </w:rPr>
              <w:t>sean.m.refsnider@ampf.com</w:t>
            </w:r>
          </w:p>
        </w:tc>
      </w:tr>
      <w:tr w:rsidR="003B7BBE" w:rsidRPr="00EE7C49" w14:paraId="2A717043" w14:textId="77777777" w:rsidTr="007338A4">
        <w:trPr>
          <w:trHeight w:val="338"/>
        </w:trPr>
        <w:tc>
          <w:tcPr>
            <w:tcW w:w="3685" w:type="dxa"/>
            <w:vAlign w:val="center"/>
          </w:tcPr>
          <w:p w14:paraId="1A441AB5" w14:textId="77777777" w:rsidR="003B7BBE" w:rsidRPr="00EE7C49" w:rsidRDefault="003B7BBE" w:rsidP="007338A4">
            <w:pPr>
              <w:rPr>
                <w:color w:val="000000"/>
                <w:szCs w:val="18"/>
              </w:rPr>
            </w:pPr>
            <w:proofErr w:type="spellStart"/>
            <w:r w:rsidRPr="00EE7C49">
              <w:rPr>
                <w:color w:val="000000"/>
                <w:szCs w:val="18"/>
              </w:rPr>
              <w:t>ASPire</w:t>
            </w:r>
            <w:proofErr w:type="spellEnd"/>
            <w:r w:rsidRPr="00EE7C49">
              <w:rPr>
                <w:color w:val="000000"/>
                <w:szCs w:val="18"/>
              </w:rPr>
              <w:t xml:space="preserve"> (formally 403b ASP)</w:t>
            </w:r>
          </w:p>
        </w:tc>
        <w:tc>
          <w:tcPr>
            <w:tcW w:w="2071" w:type="dxa"/>
            <w:vAlign w:val="center"/>
          </w:tcPr>
          <w:p w14:paraId="41C15DCE" w14:textId="77777777" w:rsidR="003B7BBE" w:rsidRPr="00EE7C49" w:rsidRDefault="003B7BBE" w:rsidP="007338A4">
            <w:pPr>
              <w:rPr>
                <w:szCs w:val="18"/>
              </w:rPr>
            </w:pPr>
            <w:proofErr w:type="spellStart"/>
            <w:r w:rsidRPr="00EE7C49">
              <w:rPr>
                <w:szCs w:val="18"/>
              </w:rPr>
              <w:t>Norvell</w:t>
            </w:r>
            <w:proofErr w:type="spellEnd"/>
            <w:r w:rsidRPr="00EE7C49">
              <w:rPr>
                <w:szCs w:val="18"/>
              </w:rPr>
              <w:t xml:space="preserve"> </w:t>
            </w:r>
            <w:proofErr w:type="spellStart"/>
            <w:r w:rsidRPr="00EE7C49">
              <w:rPr>
                <w:szCs w:val="18"/>
              </w:rPr>
              <w:t>Seiss</w:t>
            </w:r>
            <w:proofErr w:type="spellEnd"/>
          </w:p>
        </w:tc>
        <w:tc>
          <w:tcPr>
            <w:tcW w:w="2364" w:type="dxa"/>
            <w:vAlign w:val="center"/>
          </w:tcPr>
          <w:p w14:paraId="32388FB0" w14:textId="77777777" w:rsidR="003B7BBE" w:rsidRPr="00EE7C49" w:rsidRDefault="003B7BBE" w:rsidP="007338A4">
            <w:pPr>
              <w:rPr>
                <w:b/>
                <w:szCs w:val="18"/>
              </w:rPr>
            </w:pPr>
            <w:r w:rsidRPr="00EE7C49">
              <w:rPr>
                <w:szCs w:val="18"/>
              </w:rPr>
              <w:t xml:space="preserve">1-866-634-5873 </w:t>
            </w:r>
          </w:p>
        </w:tc>
        <w:tc>
          <w:tcPr>
            <w:tcW w:w="3368" w:type="dxa"/>
            <w:vAlign w:val="center"/>
          </w:tcPr>
          <w:p w14:paraId="3EED2356" w14:textId="77777777" w:rsidR="003B7BBE" w:rsidRPr="00EE7C49" w:rsidRDefault="003B7BBE" w:rsidP="007338A4">
            <w:pPr>
              <w:spacing w:after="60"/>
              <w:rPr>
                <w:color w:val="1F497D"/>
                <w:szCs w:val="18"/>
              </w:rPr>
            </w:pPr>
            <w:hyperlink r:id="rId4" w:history="1">
              <w:r w:rsidRPr="000468B1">
                <w:rPr>
                  <w:rStyle w:val="Hyperlink"/>
                </w:rPr>
                <w:t>info@aspireonline.com</w:t>
              </w:r>
            </w:hyperlink>
          </w:p>
        </w:tc>
      </w:tr>
      <w:tr w:rsidR="003B7BBE" w:rsidRPr="00EE7C49" w14:paraId="4EBE0B41" w14:textId="77777777" w:rsidTr="007338A4">
        <w:trPr>
          <w:trHeight w:val="487"/>
        </w:trPr>
        <w:tc>
          <w:tcPr>
            <w:tcW w:w="3685" w:type="dxa"/>
          </w:tcPr>
          <w:p w14:paraId="5CEC81E5" w14:textId="77777777" w:rsidR="003B7BBE" w:rsidRPr="00EE7C49" w:rsidRDefault="003B7BBE" w:rsidP="007338A4">
            <w:pPr>
              <w:rPr>
                <w:szCs w:val="18"/>
              </w:rPr>
            </w:pPr>
            <w:r w:rsidRPr="00EE7C49">
              <w:rPr>
                <w:szCs w:val="18"/>
              </w:rPr>
              <w:t>AXA Equitable</w:t>
            </w:r>
          </w:p>
        </w:tc>
        <w:tc>
          <w:tcPr>
            <w:tcW w:w="2071" w:type="dxa"/>
          </w:tcPr>
          <w:p w14:paraId="784019EF" w14:textId="77777777" w:rsidR="003B7BBE" w:rsidRPr="00EE7C49" w:rsidRDefault="003B7BBE" w:rsidP="007338A4">
            <w:pPr>
              <w:rPr>
                <w:szCs w:val="18"/>
              </w:rPr>
            </w:pPr>
            <w:r w:rsidRPr="00EE7C49">
              <w:rPr>
                <w:szCs w:val="18"/>
              </w:rPr>
              <w:t xml:space="preserve">Joe Giles </w:t>
            </w:r>
          </w:p>
          <w:p w14:paraId="4E2FEDAB" w14:textId="77777777" w:rsidR="003B7BBE" w:rsidRPr="00EE7C49" w:rsidRDefault="003B7BBE" w:rsidP="007338A4">
            <w:pPr>
              <w:rPr>
                <w:szCs w:val="18"/>
              </w:rPr>
            </w:pPr>
            <w:r w:rsidRPr="00EE7C49">
              <w:rPr>
                <w:szCs w:val="18"/>
              </w:rPr>
              <w:t>Michael Girgis</w:t>
            </w:r>
          </w:p>
        </w:tc>
        <w:tc>
          <w:tcPr>
            <w:tcW w:w="2364" w:type="dxa"/>
          </w:tcPr>
          <w:p w14:paraId="1FBD9F1A" w14:textId="77777777" w:rsidR="003B7BBE" w:rsidRDefault="003B7BBE" w:rsidP="007338A4">
            <w:pPr>
              <w:rPr>
                <w:szCs w:val="18"/>
              </w:rPr>
            </w:pPr>
            <w:r>
              <w:rPr>
                <w:szCs w:val="18"/>
              </w:rPr>
              <w:t>732-861-1961</w:t>
            </w:r>
          </w:p>
          <w:p w14:paraId="488D6417" w14:textId="77777777" w:rsidR="003B7BBE" w:rsidRPr="00C707B4" w:rsidRDefault="003B7BBE" w:rsidP="007338A4">
            <w:r>
              <w:t>732-300-1996</w:t>
            </w:r>
          </w:p>
        </w:tc>
        <w:tc>
          <w:tcPr>
            <w:tcW w:w="3368" w:type="dxa"/>
          </w:tcPr>
          <w:p w14:paraId="7345904F" w14:textId="77777777" w:rsidR="003B7BBE" w:rsidRPr="00EE7C49" w:rsidRDefault="003B7BBE" w:rsidP="007338A4">
            <w:pPr>
              <w:rPr>
                <w:color w:val="0000FF"/>
                <w:szCs w:val="18"/>
                <w:u w:val="single"/>
              </w:rPr>
            </w:pPr>
            <w:r w:rsidRPr="00EE7C49">
              <w:rPr>
                <w:rStyle w:val="Hyperlink"/>
                <w:szCs w:val="18"/>
              </w:rPr>
              <w:t>joseph.giles@AXA-Advisors.com</w:t>
            </w:r>
            <w:r w:rsidRPr="00EE7C49">
              <w:rPr>
                <w:szCs w:val="18"/>
              </w:rPr>
              <w:t xml:space="preserve"> </w:t>
            </w:r>
            <w:hyperlink r:id="rId5" w:history="1">
              <w:r w:rsidRPr="00EE7C49">
                <w:rPr>
                  <w:rStyle w:val="Hyperlink"/>
                  <w:szCs w:val="18"/>
                </w:rPr>
                <w:t>michael.girgis@AXA-Advisors.com</w:t>
              </w:r>
            </w:hyperlink>
          </w:p>
        </w:tc>
      </w:tr>
      <w:tr w:rsidR="003B7BBE" w:rsidRPr="00EE7C49" w14:paraId="0E61AF0E" w14:textId="77777777" w:rsidTr="007338A4">
        <w:trPr>
          <w:trHeight w:val="268"/>
        </w:trPr>
        <w:tc>
          <w:tcPr>
            <w:tcW w:w="3685" w:type="dxa"/>
            <w:vAlign w:val="center"/>
          </w:tcPr>
          <w:p w14:paraId="6BC28D75" w14:textId="77777777" w:rsidR="003B7BBE" w:rsidRDefault="003B7BBE" w:rsidP="007338A4">
            <w:pPr>
              <w:rPr>
                <w:szCs w:val="18"/>
              </w:rPr>
            </w:pPr>
            <w:r>
              <w:rPr>
                <w:szCs w:val="18"/>
              </w:rPr>
              <w:t>Colonial Life</w:t>
            </w:r>
          </w:p>
        </w:tc>
        <w:tc>
          <w:tcPr>
            <w:tcW w:w="2071" w:type="dxa"/>
            <w:vAlign w:val="center"/>
          </w:tcPr>
          <w:p w14:paraId="21B9C155" w14:textId="77777777" w:rsidR="003B7BBE" w:rsidRPr="00EE7C49" w:rsidRDefault="003B7BBE" w:rsidP="007338A4">
            <w:pPr>
              <w:rPr>
                <w:szCs w:val="18"/>
              </w:rPr>
            </w:pPr>
            <w:r>
              <w:rPr>
                <w:szCs w:val="18"/>
              </w:rPr>
              <w:t xml:space="preserve">Frank </w:t>
            </w:r>
            <w:proofErr w:type="spellStart"/>
            <w:r>
              <w:rPr>
                <w:szCs w:val="18"/>
              </w:rPr>
              <w:t>Marasa</w:t>
            </w:r>
            <w:proofErr w:type="spellEnd"/>
          </w:p>
        </w:tc>
        <w:tc>
          <w:tcPr>
            <w:tcW w:w="2364" w:type="dxa"/>
            <w:vAlign w:val="center"/>
          </w:tcPr>
          <w:p w14:paraId="6E3AAF38" w14:textId="77777777" w:rsidR="003B7BBE" w:rsidRPr="00EE7C49" w:rsidRDefault="003B7BBE" w:rsidP="007338A4">
            <w:pPr>
              <w:rPr>
                <w:szCs w:val="18"/>
              </w:rPr>
            </w:pPr>
            <w:r>
              <w:rPr>
                <w:szCs w:val="18"/>
              </w:rPr>
              <w:t>800-256-7004</w:t>
            </w:r>
          </w:p>
        </w:tc>
        <w:tc>
          <w:tcPr>
            <w:tcW w:w="3368" w:type="dxa"/>
            <w:vAlign w:val="center"/>
          </w:tcPr>
          <w:p w14:paraId="5C60F346" w14:textId="77777777" w:rsidR="003B7BBE" w:rsidRPr="00EE7C49" w:rsidRDefault="003B7BBE" w:rsidP="007338A4">
            <w:pPr>
              <w:rPr>
                <w:color w:val="0000FF"/>
                <w:szCs w:val="18"/>
                <w:u w:val="single"/>
              </w:rPr>
            </w:pPr>
            <w:r>
              <w:rPr>
                <w:color w:val="0000FF"/>
                <w:szCs w:val="18"/>
                <w:u w:val="single"/>
              </w:rPr>
              <w:t>fmarasa@comcast.net</w:t>
            </w:r>
          </w:p>
        </w:tc>
      </w:tr>
      <w:tr w:rsidR="003B7BBE" w:rsidRPr="00EE7C49" w14:paraId="4BF78F74" w14:textId="77777777" w:rsidTr="007338A4">
        <w:trPr>
          <w:trHeight w:val="268"/>
        </w:trPr>
        <w:tc>
          <w:tcPr>
            <w:tcW w:w="3685" w:type="dxa"/>
            <w:vAlign w:val="center"/>
          </w:tcPr>
          <w:p w14:paraId="548571C5" w14:textId="77777777" w:rsidR="003B7BBE" w:rsidRPr="00EE7C49" w:rsidRDefault="003B7BBE" w:rsidP="007338A4">
            <w:pPr>
              <w:rPr>
                <w:szCs w:val="18"/>
              </w:rPr>
            </w:pPr>
            <w:r>
              <w:rPr>
                <w:szCs w:val="18"/>
              </w:rPr>
              <w:t>Creative Financial Strategies (</w:t>
            </w:r>
            <w:r w:rsidRPr="00EE7C49">
              <w:rPr>
                <w:szCs w:val="18"/>
              </w:rPr>
              <w:t>MetLife)</w:t>
            </w:r>
          </w:p>
        </w:tc>
        <w:tc>
          <w:tcPr>
            <w:tcW w:w="2071" w:type="dxa"/>
            <w:vAlign w:val="center"/>
          </w:tcPr>
          <w:p w14:paraId="1E6A698F" w14:textId="77777777" w:rsidR="003B7BBE" w:rsidRPr="00EE7C49" w:rsidRDefault="003B7BBE" w:rsidP="007338A4">
            <w:pPr>
              <w:rPr>
                <w:szCs w:val="18"/>
              </w:rPr>
            </w:pPr>
            <w:r w:rsidRPr="00EE7C49">
              <w:rPr>
                <w:szCs w:val="18"/>
              </w:rPr>
              <w:t>Rodney Boylan</w:t>
            </w:r>
          </w:p>
        </w:tc>
        <w:tc>
          <w:tcPr>
            <w:tcW w:w="2364" w:type="dxa"/>
            <w:vAlign w:val="center"/>
          </w:tcPr>
          <w:p w14:paraId="7360685D" w14:textId="77777777" w:rsidR="003B7BBE" w:rsidRPr="00EE7C49" w:rsidRDefault="003B7BBE" w:rsidP="007338A4">
            <w:pPr>
              <w:rPr>
                <w:szCs w:val="18"/>
              </w:rPr>
            </w:pPr>
            <w:r w:rsidRPr="00EE7C49">
              <w:rPr>
                <w:szCs w:val="18"/>
              </w:rPr>
              <w:t>856-802-0980</w:t>
            </w:r>
          </w:p>
        </w:tc>
        <w:tc>
          <w:tcPr>
            <w:tcW w:w="3368" w:type="dxa"/>
            <w:vAlign w:val="center"/>
          </w:tcPr>
          <w:p w14:paraId="5490BAAF" w14:textId="77777777" w:rsidR="003B7BBE" w:rsidRPr="00EE7C49" w:rsidRDefault="003B7BBE" w:rsidP="007338A4">
            <w:pPr>
              <w:rPr>
                <w:color w:val="0000FF"/>
                <w:szCs w:val="18"/>
                <w:u w:val="single"/>
              </w:rPr>
            </w:pPr>
            <w:r w:rsidRPr="00EE7C49">
              <w:rPr>
                <w:color w:val="0000FF"/>
                <w:szCs w:val="18"/>
                <w:u w:val="single"/>
              </w:rPr>
              <w:t xml:space="preserve">RBoylan@FinancialGuide.com    </w:t>
            </w:r>
          </w:p>
          <w:p w14:paraId="4F56B200" w14:textId="77777777" w:rsidR="003B7BBE" w:rsidRPr="00EE7C49" w:rsidRDefault="003B7BBE" w:rsidP="007338A4">
            <w:pPr>
              <w:rPr>
                <w:szCs w:val="18"/>
              </w:rPr>
            </w:pPr>
            <w:r w:rsidRPr="00EE7C49">
              <w:rPr>
                <w:color w:val="0000FF"/>
                <w:szCs w:val="18"/>
                <w:u w:val="single"/>
              </w:rPr>
              <w:t xml:space="preserve">JohnCostello@FinancialGuide.com       </w:t>
            </w:r>
          </w:p>
        </w:tc>
      </w:tr>
      <w:tr w:rsidR="003B7BBE" w:rsidRPr="00EE7C49" w14:paraId="2077DE0F" w14:textId="77777777" w:rsidTr="007338A4">
        <w:trPr>
          <w:trHeight w:val="357"/>
        </w:trPr>
        <w:tc>
          <w:tcPr>
            <w:tcW w:w="3685" w:type="dxa"/>
            <w:tcBorders>
              <w:top w:val="single" w:sz="4" w:space="0" w:color="auto"/>
            </w:tcBorders>
          </w:tcPr>
          <w:p w14:paraId="73472CBB" w14:textId="77777777" w:rsidR="003B7BBE" w:rsidRPr="00EE7C49" w:rsidRDefault="003B7BBE" w:rsidP="007338A4">
            <w:pPr>
              <w:rPr>
                <w:szCs w:val="18"/>
              </w:rPr>
            </w:pPr>
            <w:r w:rsidRPr="00EE7C49">
              <w:rPr>
                <w:szCs w:val="18"/>
              </w:rPr>
              <w:t>Lincoln Investment (The Faller Company LLC)</w:t>
            </w:r>
          </w:p>
        </w:tc>
        <w:tc>
          <w:tcPr>
            <w:tcW w:w="2071" w:type="dxa"/>
          </w:tcPr>
          <w:p w14:paraId="0C8BE8BD" w14:textId="77777777" w:rsidR="003B7BBE" w:rsidRDefault="003B7BBE" w:rsidP="007338A4">
            <w:pPr>
              <w:rPr>
                <w:szCs w:val="18"/>
              </w:rPr>
            </w:pPr>
            <w:r w:rsidRPr="00EE7C49">
              <w:rPr>
                <w:szCs w:val="18"/>
              </w:rPr>
              <w:t>Gerald “Chip” Faller</w:t>
            </w:r>
            <w:r>
              <w:rPr>
                <w:szCs w:val="18"/>
              </w:rPr>
              <w:t xml:space="preserve">, </w:t>
            </w:r>
          </w:p>
          <w:p w14:paraId="6E6C563A" w14:textId="77777777" w:rsidR="003B7BBE" w:rsidRPr="00EE7C49" w:rsidRDefault="003B7BBE" w:rsidP="007338A4">
            <w:pPr>
              <w:rPr>
                <w:szCs w:val="18"/>
              </w:rPr>
            </w:pPr>
            <w:r>
              <w:rPr>
                <w:szCs w:val="18"/>
              </w:rPr>
              <w:t>CFP</w:t>
            </w:r>
          </w:p>
        </w:tc>
        <w:tc>
          <w:tcPr>
            <w:tcW w:w="2364" w:type="dxa"/>
          </w:tcPr>
          <w:p w14:paraId="4D34D86B" w14:textId="77777777" w:rsidR="003B7BBE" w:rsidRDefault="003B7BBE" w:rsidP="007338A4">
            <w:pPr>
              <w:rPr>
                <w:szCs w:val="18"/>
              </w:rPr>
            </w:pPr>
            <w:r w:rsidRPr="00EE7C49">
              <w:rPr>
                <w:szCs w:val="18"/>
              </w:rPr>
              <w:t>1-800-528-8924</w:t>
            </w:r>
          </w:p>
          <w:p w14:paraId="7F5F69B1" w14:textId="77777777" w:rsidR="003B7BBE" w:rsidRPr="00EE7C49" w:rsidRDefault="003B7BBE" w:rsidP="007338A4">
            <w:pPr>
              <w:rPr>
                <w:szCs w:val="18"/>
              </w:rPr>
            </w:pPr>
            <w:r>
              <w:rPr>
                <w:szCs w:val="18"/>
              </w:rPr>
              <w:t>856-228-9121</w:t>
            </w:r>
          </w:p>
        </w:tc>
        <w:tc>
          <w:tcPr>
            <w:tcW w:w="3368" w:type="dxa"/>
          </w:tcPr>
          <w:p w14:paraId="0A66AFED" w14:textId="77777777" w:rsidR="003B7BBE" w:rsidRPr="00EE7C49" w:rsidRDefault="003B7BBE" w:rsidP="007338A4">
            <w:pPr>
              <w:rPr>
                <w:szCs w:val="18"/>
              </w:rPr>
            </w:pPr>
            <w:hyperlink r:id="rId6" w:history="1">
              <w:r w:rsidRPr="00EE7C49">
                <w:rPr>
                  <w:rStyle w:val="Hyperlink"/>
                  <w:szCs w:val="18"/>
                </w:rPr>
                <w:t>gfaller@lincolninvestment.com</w:t>
              </w:r>
            </w:hyperlink>
          </w:p>
        </w:tc>
      </w:tr>
      <w:tr w:rsidR="003B7BBE" w:rsidRPr="00EE7C49" w14:paraId="6FCC66C4" w14:textId="77777777" w:rsidTr="007338A4">
        <w:trPr>
          <w:trHeight w:val="333"/>
        </w:trPr>
        <w:tc>
          <w:tcPr>
            <w:tcW w:w="3685" w:type="dxa"/>
            <w:vAlign w:val="center"/>
          </w:tcPr>
          <w:p w14:paraId="318E9973" w14:textId="77777777" w:rsidR="003B7BBE" w:rsidRPr="00EE7C49" w:rsidRDefault="003B7BBE" w:rsidP="007338A4">
            <w:pPr>
              <w:rPr>
                <w:szCs w:val="18"/>
              </w:rPr>
            </w:pPr>
            <w:r w:rsidRPr="00EE7C49">
              <w:rPr>
                <w:szCs w:val="18"/>
              </w:rPr>
              <w:t xml:space="preserve"> </w:t>
            </w:r>
            <w:proofErr w:type="spellStart"/>
            <w:r w:rsidRPr="00EE7C49">
              <w:rPr>
                <w:szCs w:val="18"/>
              </w:rPr>
              <w:t>Siracusa</w:t>
            </w:r>
            <w:proofErr w:type="spellEnd"/>
            <w:r w:rsidRPr="00EE7C49">
              <w:rPr>
                <w:szCs w:val="18"/>
              </w:rPr>
              <w:t xml:space="preserve"> Benefits Program</w:t>
            </w:r>
          </w:p>
        </w:tc>
        <w:tc>
          <w:tcPr>
            <w:tcW w:w="2071" w:type="dxa"/>
            <w:vAlign w:val="center"/>
          </w:tcPr>
          <w:p w14:paraId="46A1ACDD" w14:textId="77777777" w:rsidR="003B7BBE" w:rsidRPr="00EE7C49" w:rsidRDefault="003B7BBE" w:rsidP="007338A4">
            <w:pPr>
              <w:rPr>
                <w:szCs w:val="18"/>
              </w:rPr>
            </w:pPr>
            <w:r w:rsidRPr="00EE7C49">
              <w:rPr>
                <w:szCs w:val="18"/>
              </w:rPr>
              <w:t>Jared M. Gruccio</w:t>
            </w:r>
          </w:p>
        </w:tc>
        <w:tc>
          <w:tcPr>
            <w:tcW w:w="2364" w:type="dxa"/>
            <w:vAlign w:val="center"/>
          </w:tcPr>
          <w:p w14:paraId="43717D31" w14:textId="77777777" w:rsidR="003B7BBE" w:rsidRPr="00EE7C49" w:rsidRDefault="003B7BBE" w:rsidP="007338A4">
            <w:pPr>
              <w:rPr>
                <w:szCs w:val="18"/>
              </w:rPr>
            </w:pPr>
            <w:r w:rsidRPr="00EE7C49">
              <w:rPr>
                <w:szCs w:val="18"/>
              </w:rPr>
              <w:t>1-609-364-1461</w:t>
            </w:r>
          </w:p>
        </w:tc>
        <w:tc>
          <w:tcPr>
            <w:tcW w:w="3368" w:type="dxa"/>
            <w:vAlign w:val="center"/>
          </w:tcPr>
          <w:p w14:paraId="73DC91A5" w14:textId="77777777" w:rsidR="003B7BBE" w:rsidRPr="00EE7C49" w:rsidRDefault="003B7BBE" w:rsidP="007338A4">
            <w:pPr>
              <w:rPr>
                <w:color w:val="0000FF"/>
                <w:szCs w:val="18"/>
                <w:u w:val="single"/>
              </w:rPr>
            </w:pPr>
            <w:r w:rsidRPr="00EE7C49">
              <w:rPr>
                <w:color w:val="0000FF"/>
                <w:szCs w:val="18"/>
                <w:u w:val="single"/>
              </w:rPr>
              <w:t>jgruccio@gwnsecurities.com</w:t>
            </w:r>
          </w:p>
        </w:tc>
      </w:tr>
      <w:tr w:rsidR="003B7BBE" w:rsidRPr="00EE7C49" w14:paraId="200B4EAB" w14:textId="77777777" w:rsidTr="007338A4">
        <w:trPr>
          <w:trHeight w:val="354"/>
        </w:trPr>
        <w:tc>
          <w:tcPr>
            <w:tcW w:w="3685" w:type="dxa"/>
            <w:vAlign w:val="center"/>
          </w:tcPr>
          <w:p w14:paraId="0F8F68EA" w14:textId="77777777" w:rsidR="003B7BBE" w:rsidRPr="00EE7C49" w:rsidRDefault="003B7BBE" w:rsidP="007338A4">
            <w:pPr>
              <w:rPr>
                <w:szCs w:val="18"/>
              </w:rPr>
            </w:pPr>
            <w:r w:rsidRPr="00EE7C49">
              <w:rPr>
                <w:szCs w:val="18"/>
              </w:rPr>
              <w:t>VALIC (AIG)</w:t>
            </w:r>
          </w:p>
        </w:tc>
        <w:tc>
          <w:tcPr>
            <w:tcW w:w="2071" w:type="dxa"/>
            <w:vAlign w:val="center"/>
          </w:tcPr>
          <w:p w14:paraId="0BB8884B" w14:textId="77777777" w:rsidR="003B7BBE" w:rsidRPr="00EE7C49" w:rsidRDefault="003B7BBE" w:rsidP="007338A4">
            <w:pPr>
              <w:rPr>
                <w:szCs w:val="18"/>
              </w:rPr>
            </w:pPr>
            <w:r w:rsidRPr="00EE7C49">
              <w:rPr>
                <w:szCs w:val="18"/>
              </w:rPr>
              <w:t xml:space="preserve">Giorgio </w:t>
            </w:r>
            <w:proofErr w:type="spellStart"/>
            <w:r w:rsidRPr="00EE7C49">
              <w:rPr>
                <w:szCs w:val="18"/>
              </w:rPr>
              <w:t>Athans</w:t>
            </w:r>
            <w:proofErr w:type="spellEnd"/>
          </w:p>
        </w:tc>
        <w:tc>
          <w:tcPr>
            <w:tcW w:w="2364" w:type="dxa"/>
            <w:vAlign w:val="center"/>
          </w:tcPr>
          <w:p w14:paraId="415149F6" w14:textId="77777777" w:rsidR="003B7BBE" w:rsidRPr="00EE7C49" w:rsidRDefault="003B7BBE" w:rsidP="007338A4">
            <w:pPr>
              <w:rPr>
                <w:szCs w:val="18"/>
              </w:rPr>
            </w:pPr>
            <w:r w:rsidRPr="00EE7C49">
              <w:rPr>
                <w:szCs w:val="18"/>
              </w:rPr>
              <w:t>(609) 970-4177</w:t>
            </w:r>
          </w:p>
        </w:tc>
        <w:tc>
          <w:tcPr>
            <w:tcW w:w="3368" w:type="dxa"/>
            <w:vAlign w:val="center"/>
          </w:tcPr>
          <w:p w14:paraId="668F3C5B" w14:textId="77777777" w:rsidR="003B7BBE" w:rsidRPr="00EE7C49" w:rsidRDefault="003B7BBE" w:rsidP="007338A4">
            <w:pPr>
              <w:rPr>
                <w:color w:val="0000FF"/>
                <w:szCs w:val="18"/>
                <w:u w:val="single"/>
              </w:rPr>
            </w:pPr>
            <w:hyperlink r:id="rId7" w:history="1">
              <w:r>
                <w:rPr>
                  <w:rStyle w:val="Hyperlink"/>
                </w:rPr>
                <w:t>giorgio.athans@aig.com</w:t>
              </w:r>
            </w:hyperlink>
          </w:p>
        </w:tc>
      </w:tr>
      <w:tr w:rsidR="003B7BBE" w:rsidRPr="00EE7C49" w14:paraId="66FA4D82" w14:textId="77777777" w:rsidTr="007338A4">
        <w:trPr>
          <w:trHeight w:val="380"/>
        </w:trPr>
        <w:tc>
          <w:tcPr>
            <w:tcW w:w="3685" w:type="dxa"/>
            <w:tcBorders>
              <w:bottom w:val="single" w:sz="4" w:space="0" w:color="auto"/>
            </w:tcBorders>
            <w:vAlign w:val="center"/>
          </w:tcPr>
          <w:p w14:paraId="6CD5C744" w14:textId="77777777" w:rsidR="003B7BBE" w:rsidRPr="00EE7C49" w:rsidRDefault="003B7BBE" w:rsidP="007338A4">
            <w:pPr>
              <w:rPr>
                <w:szCs w:val="18"/>
              </w:rPr>
            </w:pPr>
            <w:r w:rsidRPr="00EE7C49">
              <w:rPr>
                <w:szCs w:val="18"/>
              </w:rPr>
              <w:t>VOYA  (Formally ING)</w:t>
            </w:r>
          </w:p>
        </w:tc>
        <w:tc>
          <w:tcPr>
            <w:tcW w:w="2071" w:type="dxa"/>
            <w:vAlign w:val="center"/>
          </w:tcPr>
          <w:p w14:paraId="604A710A" w14:textId="77777777" w:rsidR="003B7BBE" w:rsidRPr="00EE7C49" w:rsidRDefault="003B7BBE" w:rsidP="007338A4">
            <w:pPr>
              <w:rPr>
                <w:szCs w:val="18"/>
              </w:rPr>
            </w:pPr>
            <w:r w:rsidRPr="00EE7C49">
              <w:rPr>
                <w:szCs w:val="18"/>
              </w:rPr>
              <w:t>John Murray</w:t>
            </w:r>
          </w:p>
        </w:tc>
        <w:tc>
          <w:tcPr>
            <w:tcW w:w="2364" w:type="dxa"/>
            <w:vAlign w:val="center"/>
          </w:tcPr>
          <w:p w14:paraId="22DF77DB" w14:textId="77777777" w:rsidR="003B7BBE" w:rsidRPr="00EE7C49" w:rsidRDefault="003B7BBE" w:rsidP="007338A4">
            <w:pPr>
              <w:rPr>
                <w:szCs w:val="18"/>
              </w:rPr>
            </w:pPr>
            <w:r>
              <w:rPr>
                <w:szCs w:val="18"/>
              </w:rPr>
              <w:t>609-234-3369</w:t>
            </w:r>
          </w:p>
        </w:tc>
        <w:tc>
          <w:tcPr>
            <w:tcW w:w="3368" w:type="dxa"/>
            <w:vAlign w:val="center"/>
          </w:tcPr>
          <w:p w14:paraId="7205E39F" w14:textId="77777777" w:rsidR="003B7BBE" w:rsidRPr="00EE7C49" w:rsidRDefault="003B7BBE" w:rsidP="007338A4">
            <w:pPr>
              <w:rPr>
                <w:color w:val="0000FF"/>
                <w:szCs w:val="18"/>
                <w:u w:val="single"/>
              </w:rPr>
            </w:pPr>
            <w:hyperlink r:id="rId8" w:tgtFrame="_blank" w:history="1">
              <w:r w:rsidRPr="00A45688">
                <w:rPr>
                  <w:rStyle w:val="Hyperlink"/>
                </w:rPr>
                <w:t>johnhmurray@voyafa.com</w:t>
              </w:r>
            </w:hyperlink>
          </w:p>
        </w:tc>
      </w:tr>
    </w:tbl>
    <w:p w14:paraId="78F8CFE7" w14:textId="77777777" w:rsidR="00C167D1" w:rsidRDefault="00C167D1"/>
    <w:sectPr w:rsidR="00C1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1"/>
    <w:rsid w:val="003B7BBE"/>
    <w:rsid w:val="00887675"/>
    <w:rsid w:val="00C1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F963"/>
  <w15:chartTrackingRefBased/>
  <w15:docId w15:val="{D6112BF9-90E2-40E2-86CB-25091D24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67D1"/>
    <w:pPr>
      <w:keepNext/>
      <w:spacing w:after="0" w:line="240" w:lineRule="auto"/>
      <w:jc w:val="center"/>
      <w:outlineLvl w:val="0"/>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7D1"/>
    <w:rPr>
      <w:rFonts w:ascii="Tahoma" w:eastAsia="Times New Roman" w:hAnsi="Tahoma" w:cs="Times New Roman"/>
      <w:b/>
      <w:sz w:val="24"/>
      <w:szCs w:val="20"/>
    </w:rPr>
  </w:style>
  <w:style w:type="character" w:styleId="Hyperlink">
    <w:name w:val="Hyperlink"/>
    <w:basedOn w:val="DefaultParagraphFont"/>
    <w:rsid w:val="00C16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murray@voyafa.com" TargetMode="External"/><Relationship Id="rId3" Type="http://schemas.openxmlformats.org/officeDocument/2006/relationships/webSettings" Target="webSettings.xml"/><Relationship Id="rId7" Type="http://schemas.openxmlformats.org/officeDocument/2006/relationships/hyperlink" Target="mailto:giorgio.athans@ai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faller@lincolninvestment.com" TargetMode="External"/><Relationship Id="rId5" Type="http://schemas.openxmlformats.org/officeDocument/2006/relationships/hyperlink" Target="mailto:michael.girgis@AXA-Advisors.com" TargetMode="External"/><Relationship Id="rId10" Type="http://schemas.openxmlformats.org/officeDocument/2006/relationships/theme" Target="theme/theme1.xml"/><Relationship Id="rId4" Type="http://schemas.openxmlformats.org/officeDocument/2006/relationships/hyperlink" Target="mailto:info@aspireonlin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Ivers</dc:creator>
  <cp:keywords/>
  <dc:description/>
  <cp:lastModifiedBy>Ashley Ivers</cp:lastModifiedBy>
  <cp:revision>2</cp:revision>
  <dcterms:created xsi:type="dcterms:W3CDTF">2019-10-04T19:54:00Z</dcterms:created>
  <dcterms:modified xsi:type="dcterms:W3CDTF">2019-10-04T19:54:00Z</dcterms:modified>
</cp:coreProperties>
</file>